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F12" w:rsidRDefault="0097604D" w:rsidP="0076636F">
      <w:pPr>
        <w:jc w:val="both"/>
        <w:rPr>
          <w:b/>
        </w:rPr>
      </w:pPr>
      <w:r w:rsidRPr="00450008">
        <w:rPr>
          <w:b/>
        </w:rPr>
        <w:t xml:space="preserve">The </w:t>
      </w:r>
      <w:r w:rsidR="00AC69B3" w:rsidRPr="00450008">
        <w:rPr>
          <w:b/>
        </w:rPr>
        <w:t>pervasiveness of p</w:t>
      </w:r>
      <w:r w:rsidRPr="00450008">
        <w:rPr>
          <w:b/>
        </w:rPr>
        <w:t>ower</w:t>
      </w:r>
    </w:p>
    <w:p w:rsidR="00450008" w:rsidRPr="0076636F" w:rsidRDefault="00450008" w:rsidP="0076636F">
      <w:pPr>
        <w:jc w:val="both"/>
      </w:pPr>
      <w:r>
        <w:rPr>
          <w:b/>
        </w:rPr>
        <w:t>Elizabeth Shove, 8.1.16</w:t>
      </w:r>
      <w:r w:rsidR="0076636F">
        <w:rPr>
          <w:b/>
        </w:rPr>
        <w:t xml:space="preserve"> –</w:t>
      </w:r>
      <w:r w:rsidR="0076636F">
        <w:t>drawing on notes from Noel Cass, Adrian Friday, Allison Hui and Gordon Walker.</w:t>
      </w:r>
    </w:p>
    <w:p w:rsidR="0097604D" w:rsidRDefault="0097604D" w:rsidP="0076636F">
      <w:pPr>
        <w:jc w:val="both"/>
      </w:pPr>
      <w:r>
        <w:t>It is no surprise to discover that people in the UK have come to depend on a regular and reliable supply of electricity.  The ambition of ‘keeping the lights on’ underpins every asp</w:t>
      </w:r>
      <w:r w:rsidR="0076636F">
        <w:t>ect of government energy policy</w:t>
      </w:r>
      <w:r w:rsidR="00257B99">
        <w:t xml:space="preserve"> and</w:t>
      </w:r>
      <w:r>
        <w:t xml:space="preserve"> experiences of living without power for more than a few hours are now exceptionally rare.  </w:t>
      </w:r>
    </w:p>
    <w:p w:rsidR="0098123B" w:rsidRDefault="00257B99" w:rsidP="0076636F">
      <w:pPr>
        <w:jc w:val="both"/>
      </w:pPr>
      <w:r>
        <w:t xml:space="preserve">When such situations do arise, as they did in Lancaster in December 2015, they </w:t>
      </w:r>
      <w:r w:rsidR="0097604D">
        <w:t xml:space="preserve">provide </w:t>
      </w:r>
      <w:r>
        <w:t xml:space="preserve">some insight into </w:t>
      </w:r>
      <w:r w:rsidR="0098123B">
        <w:t xml:space="preserve">the </w:t>
      </w:r>
      <w:r w:rsidR="0097604D">
        <w:t xml:space="preserve">otherwise invisible </w:t>
      </w:r>
      <w:r w:rsidR="0098123B">
        <w:t xml:space="preserve">extent and character of electrification.  Whilst power is available and taken for granted, new uses are generated, new technologies are plugged in, and without notice, new patterns of daily practice take hold.   This is not news: for example, David Nye’s  </w:t>
      </w:r>
      <w:r w:rsidR="0098123B">
        <w:fldChar w:fldCharType="begin"/>
      </w:r>
      <w:r w:rsidR="0098123B">
        <w:instrText xml:space="preserve"> ADDIN EN.CITE &lt;EndNote&gt;&lt;Cite ExcludeAuth="1"&gt;&lt;Author&gt;Nye&lt;/Author&gt;&lt;Year&gt;2010&lt;/Year&gt;&lt;RecNum&gt;734&lt;/RecNum&gt;&lt;DisplayText&gt;(2010)&lt;/DisplayText&gt;&lt;record&gt;&lt;rec-number&gt;734&lt;/rec-number&gt;&lt;foreign-keys&gt;&lt;key app="EN" db-id="t5zrwdddra09wwe2rr4vz2xevp9rvd0xvtdt" timestamp="1345802617"&gt;734&lt;/key&gt;&lt;/foreign-keys&gt;&lt;ref-type name="Book"&gt;6&lt;/ref-type&gt;&lt;contributors&gt;&lt;authors&gt;&lt;author&gt;Nye, D.&lt;/author&gt;&lt;/authors&gt;&lt;/contributors&gt;&lt;titles&gt;&lt;title&gt;When the lights went out : a history of blackouts in America&lt;/title&gt;&lt;/titles&gt;&lt;pages&gt;x, 292 p. : ill. ; 21 cm.&lt;/pages&gt;&lt;keywords&gt;&lt;keyword&gt;Electrification -- United States -- History.&lt;/keyword&gt;&lt;keyword&gt;Stromausfall&lt;/keyword&gt;&lt;keyword&gt;Elektrifizierung&lt;/keyword&gt;&lt;keyword&gt;Electric power failures -- United States -- History.&lt;/keyword&gt;&lt;keyword&gt;Electrification -- Social aspects -- United States.&lt;/keyword&gt;&lt;keyword&gt;USA&lt;/keyword&gt;&lt;/keywords&gt;&lt;dates&gt;&lt;year&gt;2010&lt;/year&gt;&lt;/dates&gt;&lt;pub-location&gt;Cambridge, MA&lt;/pub-location&gt;&lt;publisher&gt;MIT Press&lt;/publisher&gt;&lt;isbn&gt;0262013746 (hbk. : alk. paper)&amp;#xD;9780262013741 (hbk. : alk. paper)&lt;/isbn&gt;&lt;urls&gt;&lt;/urls&gt;&lt;/record&gt;&lt;/Cite&gt;&lt;/EndNote&gt;</w:instrText>
      </w:r>
      <w:r w:rsidR="0098123B">
        <w:fldChar w:fldCharType="separate"/>
      </w:r>
      <w:r w:rsidR="0098123B">
        <w:rPr>
          <w:noProof/>
        </w:rPr>
        <w:t>(2010)</w:t>
      </w:r>
      <w:r w:rsidR="0098123B">
        <w:fldChar w:fldCharType="end"/>
      </w:r>
      <w:r w:rsidR="0098123B">
        <w:t xml:space="preserve"> book on blackouts includes descriptions of the very different consequences of power failure in commercial buildings at different point in history.  When files are of paper, and typewriters are manual, a power cut means that workers go home at dusk.  Now, office work stops as soon as the computers go off.</w:t>
      </w:r>
    </w:p>
    <w:p w:rsidR="0098123B" w:rsidRDefault="0098123B" w:rsidP="0076636F">
      <w:pPr>
        <w:jc w:val="both"/>
      </w:pPr>
      <w:r>
        <w:t>Not all such developments are so obvious, many go on in the background and some are only revealed (to some people) when the system fails.  The power cuts in Lancaster generated many such surprises and sudden realisations.</w:t>
      </w:r>
    </w:p>
    <w:p w:rsidR="0098123B" w:rsidRDefault="008A6019" w:rsidP="0076636F">
      <w:pPr>
        <w:jc w:val="both"/>
      </w:pPr>
      <w:r>
        <w:t>It is not only the lights that go off. S</w:t>
      </w:r>
      <w:r w:rsidR="0044010E">
        <w:t>ome of the things that</w:t>
      </w:r>
      <w:r w:rsidR="00865112">
        <w:t xml:space="preserve"> </w:t>
      </w:r>
      <w:r>
        <w:t xml:space="preserve">caught people unawares included </w:t>
      </w:r>
      <w:r w:rsidR="0044010E">
        <w:t xml:space="preserve">electrically powered garage doors </w:t>
      </w:r>
      <w:r w:rsidR="00257B99">
        <w:t xml:space="preserve">didn’t </w:t>
      </w:r>
      <w:r w:rsidR="0044010E">
        <w:t>open, trapping cars inside</w:t>
      </w:r>
      <w:r w:rsidR="006B6F46">
        <w:t>,</w:t>
      </w:r>
      <w:r w:rsidR="0044010E">
        <w:rPr>
          <w:rStyle w:val="EndnoteReference"/>
        </w:rPr>
        <w:endnoteReference w:id="1"/>
      </w:r>
      <w:r w:rsidR="00257B99">
        <w:t xml:space="preserve">  </w:t>
      </w:r>
      <w:r w:rsidR="0044010E">
        <w:t xml:space="preserve">electronic door locking systems </w:t>
      </w:r>
      <w:r w:rsidR="00257B99">
        <w:t xml:space="preserve">defaulted </w:t>
      </w:r>
      <w:r w:rsidR="0044010E">
        <w:t>to open (letting anyone in); fire alarms that ha</w:t>
      </w:r>
      <w:r w:rsidR="00257B99">
        <w:t xml:space="preserve">d </w:t>
      </w:r>
      <w:r w:rsidR="0044010E">
        <w:t>only limited battery back-</w:t>
      </w:r>
      <w:r>
        <w:t xml:space="preserve">up; </w:t>
      </w:r>
      <w:r w:rsidR="0044010E">
        <w:t>meters that display the charging state of PV and other such systems along with all building energy monitoring systems</w:t>
      </w:r>
      <w:r>
        <w:t xml:space="preserve"> didn’t work</w:t>
      </w:r>
      <w:r w:rsidR="006A4EC3">
        <w:t xml:space="preserve"> – (as Adrian Friday says, some build</w:t>
      </w:r>
      <w:r w:rsidR="00257B99">
        <w:t>i</w:t>
      </w:r>
      <w:r w:rsidR="006A4EC3">
        <w:t xml:space="preserve">ngs just don’t </w:t>
      </w:r>
      <w:r w:rsidR="00B47A46">
        <w:t xml:space="preserve">work </w:t>
      </w:r>
      <w:r w:rsidR="006A4EC3">
        <w:t>without electricity)</w:t>
      </w:r>
      <w:r w:rsidR="006B6F46">
        <w:t xml:space="preserve">.  More broadly, cash machines didn’t function nor did </w:t>
      </w:r>
      <w:r w:rsidR="00865112">
        <w:t>credit card payment</w:t>
      </w:r>
      <w:r w:rsidR="00257B99">
        <w:t xml:space="preserve"> systems</w:t>
      </w:r>
      <w:r w:rsidR="00865112">
        <w:t xml:space="preserve">; traffic lights; petrol pumps; </w:t>
      </w:r>
      <w:r w:rsidR="0044010E">
        <w:t>gas central heati</w:t>
      </w:r>
      <w:r w:rsidR="00865112">
        <w:t>ng systems with electric</w:t>
      </w:r>
      <w:r w:rsidR="0079665F">
        <w:t xml:space="preserve"> controls and</w:t>
      </w:r>
      <w:r w:rsidR="00865112">
        <w:t xml:space="preserve"> pumps</w:t>
      </w:r>
      <w:r w:rsidR="00666F58">
        <w:t xml:space="preserve"> (See Gordon Walker’s notes)</w:t>
      </w:r>
      <w:r w:rsidR="00865112">
        <w:t>,</w:t>
      </w:r>
      <w:r w:rsidR="00E159F2">
        <w:t xml:space="preserve"> and </w:t>
      </w:r>
      <w:r w:rsidR="00865112">
        <w:t xml:space="preserve">a full range of communication technologies including </w:t>
      </w:r>
      <w:r w:rsidR="00257B99">
        <w:t>wireless and</w:t>
      </w:r>
      <w:r w:rsidR="00C51E43">
        <w:t xml:space="preserve"> </w:t>
      </w:r>
      <w:r w:rsidR="00865112">
        <w:t>mobile phones (no signal, plus their batteries run out); laptops, tablets, the internet (and the many facilities that affords), and some landline phones as well.</w:t>
      </w:r>
      <w:r w:rsidR="00FE404E">
        <w:t xml:space="preserve"> </w:t>
      </w:r>
    </w:p>
    <w:p w:rsidR="00865112" w:rsidRDefault="00C51E43" w:rsidP="0076636F">
      <w:pPr>
        <w:jc w:val="both"/>
      </w:pPr>
      <w:r>
        <w:t>The list alone is revealing, but the more important issue has to do with</w:t>
      </w:r>
      <w:r w:rsidR="00B47A46">
        <w:t xml:space="preserve"> the</w:t>
      </w:r>
      <w:r>
        <w:t xml:space="preserve"> interconnection of so many of these arrangements.  </w:t>
      </w:r>
      <w:r w:rsidR="00AC69B3">
        <w:t>The</w:t>
      </w:r>
      <w:r>
        <w:t xml:space="preserve"> internet/communication infrastructure has been layered onto that of electrical power without </w:t>
      </w:r>
      <w:r w:rsidR="00E159F2">
        <w:t xml:space="preserve">most people </w:t>
      </w:r>
      <w:r>
        <w:t xml:space="preserve">really noticing.  </w:t>
      </w:r>
      <w:r w:rsidR="006A4EC3">
        <w:t xml:space="preserve">As Noel </w:t>
      </w:r>
      <w:r w:rsidR="00257B99">
        <w:t xml:space="preserve">Cass </w:t>
      </w:r>
      <w:r w:rsidR="006A4EC3">
        <w:t xml:space="preserve">notes, ‘‘disaster response’ was limited by the simultaneous and related removal of ICT data networks </w:t>
      </w:r>
      <w:r w:rsidR="006A4EC3" w:rsidRPr="007F6E63">
        <w:rPr>
          <w:i/>
        </w:rPr>
        <w:t>and</w:t>
      </w:r>
      <w:r w:rsidR="006A4EC3">
        <w:t xml:space="preserve"> electr</w:t>
      </w:r>
      <w:r w:rsidR="00257B99">
        <w:t>icity to power them’.</w:t>
      </w:r>
      <w:r>
        <w:t xml:space="preserve"> Having a plan for what to do without electricity is one thing, but planning for no normal communication is another.   So what when the two are </w:t>
      </w:r>
      <w:r w:rsidR="00AC69B3">
        <w:t xml:space="preserve">inextricably </w:t>
      </w:r>
      <w:r>
        <w:t xml:space="preserve">linked?  And just when did they become so closely </w:t>
      </w:r>
      <w:r w:rsidR="00E159F2">
        <w:t>connected</w:t>
      </w:r>
      <w:r>
        <w:t>? Was it last year, or the year before</w:t>
      </w:r>
      <w:r w:rsidR="00AC69B3">
        <w:t xml:space="preserve"> or a decade ago</w:t>
      </w:r>
      <w:r>
        <w:t xml:space="preserve">? There is no answer since these are multiple and creeping developments that have effect in concert </w:t>
      </w:r>
      <w:r w:rsidR="00AC69B3">
        <w:t xml:space="preserve">and at different scales, </w:t>
      </w:r>
      <w:r>
        <w:t>but that take place and take hold independently.</w:t>
      </w:r>
    </w:p>
    <w:p w:rsidR="009646C2" w:rsidRDefault="006B6F46" w:rsidP="009646C2">
      <w:pPr>
        <w:jc w:val="both"/>
      </w:pPr>
      <w:r>
        <w:t>In Noel’s words</w:t>
      </w:r>
      <w:r w:rsidR="009646C2">
        <w:t xml:space="preserve"> ‘the process of practices becoming fossilised and outdated moves more quickly than we might expect, and from the perspective of energy demand, the embedding or insertion of electrical </w:t>
      </w:r>
      <w:r w:rsidR="009646C2" w:rsidRPr="007F6E63">
        <w:rPr>
          <w:i/>
        </w:rPr>
        <w:t>and</w:t>
      </w:r>
      <w:r w:rsidR="009646C2">
        <w:t xml:space="preserve"> data infrastructures, appliances and devices into ever more micro-practices (e.g. payment as a practice shared (‘dispersed’) across multiple practice fields) is problematic’.</w:t>
      </w:r>
    </w:p>
    <w:p w:rsidR="009646C2" w:rsidRDefault="009646C2" w:rsidP="0076636F">
      <w:pPr>
        <w:jc w:val="both"/>
      </w:pPr>
    </w:p>
    <w:p w:rsidR="00C51E43" w:rsidRDefault="00C51E43" w:rsidP="0076636F">
      <w:pPr>
        <w:jc w:val="both"/>
      </w:pPr>
      <w:r>
        <w:t>It is not that no one had thought about this before, rather that the realisation of how far, and how penetrating the consequences might be comes to the surface not in the abstract, but in the moment of trying to do something, to get in touch with a friend</w:t>
      </w:r>
      <w:r w:rsidR="00666F58">
        <w:t xml:space="preserve"> to let them know you could cook them dinner</w:t>
      </w:r>
      <w:r>
        <w:t xml:space="preserve">, to summon colleagues, </w:t>
      </w:r>
      <w:r w:rsidR="00206D9F">
        <w:t xml:space="preserve">or </w:t>
      </w:r>
      <w:r>
        <w:t xml:space="preserve">to call in people with the expertise needed to help.  </w:t>
      </w:r>
      <w:r w:rsidR="00E159F2">
        <w:t xml:space="preserve">This is not </w:t>
      </w:r>
      <w:r w:rsidR="002467BD">
        <w:t xml:space="preserve">only a matter of </w:t>
      </w:r>
      <w:r w:rsidR="00E159F2">
        <w:t xml:space="preserve">what is </w:t>
      </w:r>
      <w:r w:rsidR="002467BD">
        <w:t xml:space="preserve">‘on’ or ‘off’: some </w:t>
      </w:r>
      <w:r w:rsidR="00206D9F">
        <w:t xml:space="preserve">‘traditional’ </w:t>
      </w:r>
      <w:r w:rsidR="002467BD">
        <w:t xml:space="preserve">landline phones did work, but </w:t>
      </w:r>
      <w:r w:rsidR="00206D9F">
        <w:t xml:space="preserve">there are now fewer of them just as there are fewer public phone boxes.  </w:t>
      </w:r>
      <w:r w:rsidR="002467BD">
        <w:t>Th</w:t>
      </w:r>
      <w:r w:rsidR="00206D9F">
        <w:t>ese historical features of provision and depletion created bottlenecks of a scale that were</w:t>
      </w:r>
      <w:r w:rsidR="002467BD">
        <w:t xml:space="preserve"> truly impossible to know in advance since </w:t>
      </w:r>
      <w:r w:rsidR="00206D9F">
        <w:t xml:space="preserve">they reflect and relate </w:t>
      </w:r>
      <w:r w:rsidR="002467BD">
        <w:t xml:space="preserve">to the detail of exactly </w:t>
      </w:r>
      <w:r w:rsidR="00E159F2">
        <w:t xml:space="preserve">who is trying </w:t>
      </w:r>
      <w:r w:rsidR="002467BD">
        <w:t>to do what, and when.</w:t>
      </w:r>
    </w:p>
    <w:p w:rsidR="002467BD" w:rsidRDefault="00E159F2" w:rsidP="0076636F">
      <w:pPr>
        <w:jc w:val="both"/>
      </w:pPr>
      <w:r>
        <w:t xml:space="preserve">Also not surprising, but also suddenly revealed, the pervasiveness of electric power has </w:t>
      </w:r>
      <w:r w:rsidR="00206D9F">
        <w:t xml:space="preserve">enabled </w:t>
      </w:r>
      <w:r>
        <w:t xml:space="preserve">the undetected departure of previously relevant technologies and </w:t>
      </w:r>
      <w:r w:rsidR="00AC69B3">
        <w:t xml:space="preserve">the evaporation of </w:t>
      </w:r>
      <w:r>
        <w:t>rel</w:t>
      </w:r>
      <w:r w:rsidR="00206D9F">
        <w:t xml:space="preserve">evant </w:t>
      </w:r>
      <w:r>
        <w:t xml:space="preserve">forms of knowledge.  Not everyone knows how to use a phone box.  </w:t>
      </w:r>
      <w:r w:rsidR="00FE404E">
        <w:t xml:space="preserve"> Actual lists of phone numbers don’t </w:t>
      </w:r>
      <w:proofErr w:type="gramStart"/>
      <w:r w:rsidR="00FE404E">
        <w:t>exist,</w:t>
      </w:r>
      <w:proofErr w:type="gramEnd"/>
      <w:r w:rsidR="00FE404E">
        <w:t xml:space="preserve"> are out of date or hard to find</w:t>
      </w:r>
      <w:r w:rsidR="00206D9F">
        <w:t xml:space="preserve"> – and in any case </w:t>
      </w:r>
      <w:r w:rsidR="00FE404E">
        <w:t>why should these be laboriously maintained and stored when you can normally get the latest information on the internet?  Everyday practices, and the materials and knowledge associated with them appear</w:t>
      </w:r>
      <w:r w:rsidR="00AC69B3">
        <w:t>ed</w:t>
      </w:r>
      <w:r w:rsidR="00666F58">
        <w:t xml:space="preserve"> to have shifted</w:t>
      </w:r>
      <w:r w:rsidR="00FE404E">
        <w:t xml:space="preserve"> below the radar.  </w:t>
      </w:r>
    </w:p>
    <w:p w:rsidR="00206D9F" w:rsidRDefault="00AC69B3" w:rsidP="005B44AB">
      <w:pPr>
        <w:jc w:val="both"/>
      </w:pPr>
      <w:r>
        <w:t>In some instances it was</w:t>
      </w:r>
      <w:r w:rsidR="00FE404E">
        <w:t xml:space="preserve"> easy to snap ‘back’ to a previous regime: to light the fire and to get the candles out</w:t>
      </w:r>
      <w:r w:rsidR="00BA6EEE">
        <w:t xml:space="preserve"> or </w:t>
      </w:r>
      <w:r w:rsidR="00206D9F">
        <w:t xml:space="preserve">finally find </w:t>
      </w:r>
      <w:r w:rsidR="00BA6EEE">
        <w:t>a way of hand-cranking the garage door</w:t>
      </w:r>
      <w:r w:rsidR="00FE404E">
        <w:t xml:space="preserve">.  It turns out that some homes are quite well equipped with power storage that is independent of the grid.  However, </w:t>
      </w:r>
      <w:r>
        <w:t xml:space="preserve">total </w:t>
      </w:r>
      <w:r w:rsidR="00FE404E">
        <w:t>stocks of alternative fuels, of logs,</w:t>
      </w:r>
      <w:r w:rsidR="0079665F">
        <w:t xml:space="preserve"> batteries, food, candles</w:t>
      </w:r>
      <w:r w:rsidR="00FE404E">
        <w:t xml:space="preserve">, </w:t>
      </w:r>
      <w:r w:rsidR="0079665F">
        <w:t xml:space="preserve">camping </w:t>
      </w:r>
      <w:proofErr w:type="spellStart"/>
      <w:r w:rsidR="0079665F">
        <w:t>gaz</w:t>
      </w:r>
      <w:proofErr w:type="spellEnd"/>
      <w:r w:rsidR="0079665F">
        <w:t xml:space="preserve">, </w:t>
      </w:r>
      <w:r w:rsidR="00FE404E">
        <w:t xml:space="preserve">partly charged appliances etc., tanks of hot water </w:t>
      </w:r>
      <w:r w:rsidR="00206D9F">
        <w:t xml:space="preserve">were </w:t>
      </w:r>
      <w:r w:rsidR="00FE404E">
        <w:t>typically unknown and sometimes unknowable individually or at any scale.</w:t>
      </w:r>
      <w:r>
        <w:rPr>
          <w:rStyle w:val="EndnoteReference"/>
        </w:rPr>
        <w:endnoteReference w:id="2"/>
      </w:r>
      <w:r w:rsidR="00FE404E">
        <w:t xml:space="preserve">  </w:t>
      </w:r>
      <w:r w:rsidR="00206D9F">
        <w:t xml:space="preserve"> Compared to the uniformity and ubiquity of electric power, these reserves are </w:t>
      </w:r>
      <w:r w:rsidR="008A6019">
        <w:t xml:space="preserve">also </w:t>
      </w:r>
      <w:r w:rsidR="00206D9F">
        <w:t xml:space="preserve">highly differentiated.  Candles are good for lighting but not for much else.  </w:t>
      </w:r>
      <w:r w:rsidR="005B44AB">
        <w:t>D</w:t>
      </w:r>
      <w:r w:rsidR="00206D9F">
        <w:t xml:space="preserve">ifferent practices </w:t>
      </w:r>
      <w:r w:rsidR="008A6019">
        <w:t xml:space="preserve">were </w:t>
      </w:r>
      <w:r w:rsidR="00206D9F">
        <w:t xml:space="preserve">associated with specific resource demands, </w:t>
      </w:r>
      <w:r w:rsidR="005B44AB">
        <w:t xml:space="preserve">and </w:t>
      </w:r>
      <w:r w:rsidR="008A6019">
        <w:t xml:space="preserve">were </w:t>
      </w:r>
      <w:r w:rsidR="005B44AB">
        <w:t xml:space="preserve">prioritised and rationed accordingly. (See Adrian Friday’s notes on eking out </w:t>
      </w:r>
      <w:proofErr w:type="spellStart"/>
      <w:r w:rsidR="005B44AB">
        <w:t>ipad</w:t>
      </w:r>
      <w:proofErr w:type="spellEnd"/>
      <w:r w:rsidR="005B44AB">
        <w:t xml:space="preserve"> time).  </w:t>
      </w:r>
    </w:p>
    <w:p w:rsidR="008A6019" w:rsidRDefault="00E56A6C" w:rsidP="0076636F">
      <w:pPr>
        <w:jc w:val="both"/>
      </w:pPr>
      <w:r>
        <w:t xml:space="preserve">These </w:t>
      </w:r>
      <w:r w:rsidR="005B44AB">
        <w:t xml:space="preserve">few </w:t>
      </w:r>
      <w:r>
        <w:t xml:space="preserve">observations point to </w:t>
      </w:r>
      <w:r w:rsidR="005B44AB">
        <w:t xml:space="preserve">wider </w:t>
      </w:r>
      <w:r>
        <w:t>issues of substitutability, and power in another sense</w:t>
      </w:r>
      <w:r w:rsidR="00BA6EEE">
        <w:t>. Whilst many aspects of daily life have come to depend on powered devices and</w:t>
      </w:r>
      <w:r w:rsidR="005B44AB">
        <w:t xml:space="preserve"> a reliable electricity supply t</w:t>
      </w:r>
      <w:r w:rsidR="00BA6EEE">
        <w:t xml:space="preserve">he nature of this dependence varies from one practice to the next. </w:t>
      </w:r>
      <w:r w:rsidR="006A4EC3">
        <w:t xml:space="preserve"> </w:t>
      </w:r>
    </w:p>
    <w:p w:rsidR="005B44AB" w:rsidRDefault="006A4EC3" w:rsidP="0076636F">
      <w:pPr>
        <w:jc w:val="both"/>
      </w:pPr>
      <w:r>
        <w:t xml:space="preserve">For example, </w:t>
      </w:r>
      <w:r w:rsidR="005B44AB">
        <w:t xml:space="preserve">certain </w:t>
      </w:r>
      <w:r w:rsidR="00194BE5">
        <w:t>activities</w:t>
      </w:r>
      <w:r w:rsidR="005B44AB">
        <w:t xml:space="preserve"> can switched to daylight hours, </w:t>
      </w:r>
      <w:r w:rsidR="00194BE5">
        <w:t>and</w:t>
      </w:r>
      <w:r w:rsidR="005B44AB">
        <w:t xml:space="preserve"> </w:t>
      </w:r>
      <w:r w:rsidR="00E56A6C">
        <w:t xml:space="preserve">there are often multiple ways of keeping </w:t>
      </w:r>
      <w:r w:rsidR="00194BE5">
        <w:t xml:space="preserve">warm.  </w:t>
      </w:r>
      <w:r w:rsidR="005B44AB">
        <w:t xml:space="preserve">However, the scope spatial/temporal flexibility is </w:t>
      </w:r>
      <w:proofErr w:type="gramStart"/>
      <w:r w:rsidR="005B44AB">
        <w:t>limited</w:t>
      </w:r>
      <w:r w:rsidR="008A6019">
        <w:t>,</w:t>
      </w:r>
      <w:proofErr w:type="gramEnd"/>
      <w:r w:rsidR="008A6019">
        <w:t xml:space="preserve"> practice by practice, and from one situation to another</w:t>
      </w:r>
      <w:r w:rsidR="005B44AB">
        <w:t xml:space="preserve">. In addition, there are some things that cannot be </w:t>
      </w:r>
      <w:r w:rsidR="008A6019">
        <w:t>worked around: f</w:t>
      </w:r>
      <w:r w:rsidR="005B44AB">
        <w:t>or example, in</w:t>
      </w:r>
      <w:r w:rsidR="00E56A6C">
        <w:t xml:space="preserve">dividuals cannot re-make the internet alone, and they are literally powerless to influence the mobile </w:t>
      </w:r>
      <w:r w:rsidR="005B44AB">
        <w:t xml:space="preserve">phone </w:t>
      </w:r>
      <w:r w:rsidR="00E56A6C">
        <w:t>signal – even if they happen to have a wind up battery charger.</w:t>
      </w:r>
      <w:r w:rsidR="005B44AB">
        <w:t xml:space="preserve">  Whilst substitutes for email, such as h</w:t>
      </w:r>
      <w:r w:rsidR="00666F58">
        <w:t>andwritten notices</w:t>
      </w:r>
      <w:r w:rsidR="00194BE5">
        <w:t>, flipcharts</w:t>
      </w:r>
      <w:r w:rsidR="00666F58">
        <w:t xml:space="preserve"> </w:t>
      </w:r>
      <w:r w:rsidR="00BA6EEE">
        <w:t xml:space="preserve">and megaphones </w:t>
      </w:r>
      <w:r w:rsidR="00666F58">
        <w:t>work</w:t>
      </w:r>
      <w:r w:rsidR="008A6019">
        <w:t>,</w:t>
      </w:r>
      <w:r w:rsidR="00666F58">
        <w:t xml:space="preserve"> </w:t>
      </w:r>
      <w:r w:rsidR="005B44AB">
        <w:t xml:space="preserve">they do so </w:t>
      </w:r>
      <w:r w:rsidR="008A6019">
        <w:t xml:space="preserve">at </w:t>
      </w:r>
      <w:r w:rsidR="005B44AB">
        <w:t xml:space="preserve">such a different </w:t>
      </w:r>
      <w:r w:rsidR="00666F58">
        <w:t>scale</w:t>
      </w:r>
      <w:r w:rsidR="005B44AB">
        <w:t xml:space="preserve"> that they are not really substitutes at all</w:t>
      </w:r>
      <w:r w:rsidR="00666F58">
        <w:t>.</w:t>
      </w:r>
    </w:p>
    <w:p w:rsidR="002467BD" w:rsidRDefault="008A6019" w:rsidP="0076636F">
      <w:pPr>
        <w:jc w:val="both"/>
      </w:pPr>
      <w:r>
        <w:t>A</w:t>
      </w:r>
      <w:r w:rsidR="00312FF8">
        <w:t xml:space="preserve">s </w:t>
      </w:r>
      <w:r w:rsidR="006A4EC3">
        <w:t xml:space="preserve">Noel notes, </w:t>
      </w:r>
      <w:r>
        <w:t xml:space="preserve">the radio </w:t>
      </w:r>
      <w:r w:rsidR="00B47A46">
        <w:t>was one of ‘</w:t>
      </w:r>
      <w:r w:rsidR="006A4EC3">
        <w:t>the few sources of information due to the relative lack of embeddedness/interlinking of radio and mains ele</w:t>
      </w:r>
      <w:r w:rsidR="00B47A46">
        <w:t>ctricity’</w:t>
      </w:r>
      <w:r>
        <w:t xml:space="preserve"> that was in working order</w:t>
      </w:r>
      <w:r w:rsidR="006A4EC3">
        <w:t>. Of course access to the radio</w:t>
      </w:r>
      <w:r w:rsidR="00E56A6C">
        <w:t xml:space="preserve"> depends on the position both of the transmitter and the receiver (a battery powered, or wind up radio is a must), but </w:t>
      </w:r>
      <w:r w:rsidR="00BA6EEE">
        <w:t>for getting hold of some kinds of information</w:t>
      </w:r>
      <w:r w:rsidR="00E56A6C">
        <w:t xml:space="preserve">, its success and </w:t>
      </w:r>
      <w:r>
        <w:t xml:space="preserve">momentary </w:t>
      </w:r>
      <w:r w:rsidR="00E56A6C">
        <w:t xml:space="preserve">importance was enhanced by the </w:t>
      </w:r>
      <w:r>
        <w:t xml:space="preserve">failure </w:t>
      </w:r>
      <w:r w:rsidR="00E56A6C">
        <w:t xml:space="preserve">of </w:t>
      </w:r>
      <w:r w:rsidR="00312FF8">
        <w:t>other forms.</w:t>
      </w:r>
      <w:r>
        <w:t xml:space="preserve"> T</w:t>
      </w:r>
      <w:r w:rsidR="00312FF8">
        <w:t xml:space="preserve">he power </w:t>
      </w:r>
      <w:r>
        <w:t xml:space="preserve">shortage also </w:t>
      </w:r>
      <w:r w:rsidR="006B6F46">
        <w:t xml:space="preserve">generated- </w:t>
      </w:r>
      <w:r w:rsidR="00312FF8">
        <w:t>or perhaps revealed</w:t>
      </w:r>
      <w:r w:rsidR="006B6F46">
        <w:t xml:space="preserve"> -</w:t>
      </w:r>
      <w:r w:rsidR="00312FF8">
        <w:t>the significance of twitter.  F</w:t>
      </w:r>
      <w:r w:rsidR="00E56A6C">
        <w:t>or</w:t>
      </w:r>
      <w:r w:rsidR="00666F58">
        <w:t xml:space="preserve"> </w:t>
      </w:r>
      <w:r w:rsidR="00E56A6C">
        <w:t xml:space="preserve">those with a bit of power and a bit of a signal, </w:t>
      </w:r>
      <w:r w:rsidR="00BA6EEE">
        <w:t>it turned out that</w:t>
      </w:r>
      <w:r w:rsidR="00666F58">
        <w:t xml:space="preserve"> </w:t>
      </w:r>
      <w:r w:rsidR="00E56A6C">
        <w:t xml:space="preserve">twitter was all. </w:t>
      </w:r>
      <w:r w:rsidR="006B6F46">
        <w:t xml:space="preserve"> </w:t>
      </w:r>
      <w:r w:rsidR="00E56A6C">
        <w:t>Forget the websites – for live and regul</w:t>
      </w:r>
      <w:r w:rsidR="00AC69B3">
        <w:t xml:space="preserve">arly updated </w:t>
      </w:r>
      <w:r w:rsidR="00AC69B3">
        <w:lastRenderedPageBreak/>
        <w:t>information, twitter was the answer.</w:t>
      </w:r>
      <w:r w:rsidR="006B6F46">
        <w:t xml:space="preserve">  It seems that the power cuts led to a significant increase in twitter users.</w:t>
      </w:r>
      <w:r w:rsidR="003D7FE0">
        <w:rPr>
          <w:rStyle w:val="EndnoteReference"/>
        </w:rPr>
        <w:endnoteReference w:id="3"/>
      </w:r>
    </w:p>
    <w:p w:rsidR="00312FF8" w:rsidRDefault="00312FF8" w:rsidP="00312FF8">
      <w:pPr>
        <w:jc w:val="both"/>
      </w:pPr>
      <w:r>
        <w:t xml:space="preserve">From the </w:t>
      </w:r>
      <w:r w:rsidR="006B6F46">
        <w:t xml:space="preserve">personal </w:t>
      </w:r>
      <w:r>
        <w:t xml:space="preserve">accounts we have collected, one of the most powerful feelings of being without power was that of being cut-off from friends/family (see notes from Allison Hui and Adrian Friday), of being out of reach, unable to reach others and not knowing what was going on.  Adrian Friday was surely not alone in charging his phone, as a top priority.  </w:t>
      </w:r>
    </w:p>
    <w:p w:rsidR="00BA7AAB" w:rsidRPr="00732D99" w:rsidRDefault="008A6019" w:rsidP="0076636F">
      <w:pPr>
        <w:jc w:val="both"/>
      </w:pPr>
      <w:r>
        <w:t xml:space="preserve">The interdependence of electricity and communication is not usually a topic of much concern. But when these systems failed together, a range of technical and organisational questions came into view.  It turns out that power is needed not at one point or place, but at multiple sites across the internet/wireless/mobile signal networks/ chains of provision, </w:t>
      </w:r>
      <w:r w:rsidR="006B6F46">
        <w:t xml:space="preserve">and related systems of </w:t>
      </w:r>
      <w:r>
        <w:t xml:space="preserve">ownership, responsibility and supply.  A functioning phone or laptop is required.  </w:t>
      </w:r>
      <w:r w:rsidR="009646C2">
        <w:t>But p</w:t>
      </w:r>
      <w:r>
        <w:t>ower is also needed to some remote, location unknown, site which enables the data to flow. It turns out that all the elements of these multiply interlinked systems need to be in place.</w:t>
      </w:r>
      <w:r w:rsidR="009646C2">
        <w:t xml:space="preserve">  As Noel concludes, ‘t</w:t>
      </w:r>
      <w:r w:rsidR="00BA7AAB">
        <w:t>he implications for energy futures are that communication in (increasingly predictable/prevalent) electricity-free periods should be rethought, and that ICT appliances and devices with multiple forms of powerin</w:t>
      </w:r>
      <w:r w:rsidR="009646C2">
        <w:t>g are more resilient.’</w:t>
      </w:r>
      <w:r w:rsidR="00BA7AAB">
        <w:t xml:space="preserve"> </w:t>
      </w:r>
      <w:r w:rsidR="009646C2">
        <w:t xml:space="preserve"> It would be interesting to find out more about what these options might be – and also at what scale they might exist: e.g. could the university have its ‘own’ communication network.  The obvious problem with that is that communication is, by definition, with a host of others who also need to be connected. </w:t>
      </w:r>
    </w:p>
    <w:p w:rsidR="0098123B" w:rsidRPr="0098123B" w:rsidRDefault="0098123B" w:rsidP="0076636F">
      <w:pPr>
        <w:pStyle w:val="EndNoteBibliography"/>
        <w:ind w:left="720" w:hanging="720"/>
        <w:jc w:val="both"/>
      </w:pPr>
      <w:r>
        <w:fldChar w:fldCharType="begin"/>
      </w:r>
      <w:r>
        <w:instrText xml:space="preserve"> ADDIN EN.REFLIST </w:instrText>
      </w:r>
      <w:r>
        <w:fldChar w:fldCharType="separate"/>
      </w:r>
      <w:r w:rsidRPr="0098123B">
        <w:t xml:space="preserve">Nye D. (2010) </w:t>
      </w:r>
      <w:r w:rsidRPr="0098123B">
        <w:rPr>
          <w:i/>
        </w:rPr>
        <w:t xml:space="preserve">When the lights went out : a history of blackouts in America, </w:t>
      </w:r>
      <w:r w:rsidRPr="0098123B">
        <w:t>Cambridge, MA: MIT Press.</w:t>
      </w:r>
    </w:p>
    <w:p w:rsidR="0097604D" w:rsidRDefault="0098123B" w:rsidP="0076636F">
      <w:pPr>
        <w:jc w:val="both"/>
      </w:pPr>
      <w:r>
        <w:fldChar w:fldCharType="end"/>
      </w:r>
    </w:p>
    <w:sectPr w:rsidR="0097604D">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01F" w:rsidRDefault="00F8301F" w:rsidP="0044010E">
      <w:pPr>
        <w:spacing w:after="0" w:line="240" w:lineRule="auto"/>
      </w:pPr>
      <w:r>
        <w:separator/>
      </w:r>
    </w:p>
  </w:endnote>
  <w:endnote w:type="continuationSeparator" w:id="0">
    <w:p w:rsidR="00F8301F" w:rsidRDefault="00F8301F" w:rsidP="0044010E">
      <w:pPr>
        <w:spacing w:after="0" w:line="240" w:lineRule="auto"/>
      </w:pPr>
      <w:r>
        <w:continuationSeparator/>
      </w:r>
    </w:p>
  </w:endnote>
  <w:endnote w:id="1">
    <w:p w:rsidR="008075A1" w:rsidRDefault="008075A1">
      <w:pPr>
        <w:pStyle w:val="EndnoteText"/>
      </w:pPr>
      <w:r>
        <w:rPr>
          <w:rStyle w:val="EndnoteReference"/>
        </w:rPr>
        <w:endnoteRef/>
      </w:r>
      <w:r>
        <w:t xml:space="preserve"> There might be some hand operated ‘emergency’ release but for that you’d need to find the manual, and you can’t look it up on line.</w:t>
      </w:r>
    </w:p>
  </w:endnote>
  <w:endnote w:id="2">
    <w:p w:rsidR="008075A1" w:rsidRDefault="008075A1">
      <w:pPr>
        <w:pStyle w:val="EndnoteText"/>
      </w:pPr>
      <w:r>
        <w:rPr>
          <w:rStyle w:val="EndnoteReference"/>
        </w:rPr>
        <w:endnoteRef/>
      </w:r>
      <w:r>
        <w:t xml:space="preserve"> See Greg Marsden’s work on how much petrol is stored in peoples’ cars at any one time.</w:t>
      </w:r>
    </w:p>
  </w:endnote>
  <w:endnote w:id="3">
    <w:p w:rsidR="003D7FE0" w:rsidRDefault="003D7FE0" w:rsidP="003D7FE0">
      <w:pPr>
        <w:jc w:val="both"/>
      </w:pPr>
      <w:r>
        <w:rPr>
          <w:rStyle w:val="EndnoteReference"/>
        </w:rPr>
        <w:endnoteRef/>
      </w:r>
      <w:r>
        <w:t xml:space="preserve"> After the event, Electricity NW has produced some figures about the scale and form of social and other types of media interaction.</w:t>
      </w:r>
    </w:p>
    <w:p w:rsidR="003D7FE0" w:rsidRDefault="003D7FE0" w:rsidP="003D7FE0">
      <w:pPr>
        <w:jc w:val="both"/>
      </w:pPr>
      <w:r>
        <w:rPr>
          <w:noProof/>
          <w:lang w:eastAsia="en-GB"/>
        </w:rPr>
        <w:drawing>
          <wp:inline distT="0" distB="0" distL="0" distR="0" wp14:anchorId="05D3403F" wp14:editId="14546B8F">
            <wp:extent cx="4116291" cy="5762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W media.jpg"/>
                    <pic:cNvPicPr/>
                  </pic:nvPicPr>
                  <pic:blipFill>
                    <a:blip r:embed="rId1">
                      <a:extLst>
                        <a:ext uri="{28A0092B-C50C-407E-A947-70E740481C1C}">
                          <a14:useLocalDpi xmlns:a14="http://schemas.microsoft.com/office/drawing/2010/main" val="0"/>
                        </a:ext>
                      </a:extLst>
                    </a:blip>
                    <a:stretch>
                      <a:fillRect/>
                    </a:stretch>
                  </pic:blipFill>
                  <pic:spPr>
                    <a:xfrm>
                      <a:off x="0" y="0"/>
                      <a:ext cx="4118246" cy="5765363"/>
                    </a:xfrm>
                    <a:prstGeom prst="rect">
                      <a:avLst/>
                    </a:prstGeom>
                  </pic:spPr>
                </pic:pic>
              </a:graphicData>
            </a:graphic>
          </wp:inline>
        </w:drawing>
      </w:r>
    </w:p>
    <w:p w:rsidR="003D7FE0" w:rsidRDefault="00F8301F" w:rsidP="003D7FE0">
      <w:pPr>
        <w:jc w:val="both"/>
      </w:pPr>
      <w:hyperlink r:id="rId2" w:history="1">
        <w:r w:rsidR="003D7FE0" w:rsidRPr="00BA692A">
          <w:rPr>
            <w:rStyle w:val="Hyperlink"/>
          </w:rPr>
          <w:t>http://www.enwl.co.uk/news-and-press/case-studies/storm-desmond-december-2015/2015/12/05/05-12-15-storm-desmond-causes-damage-to-power-network-in-cumbria</w:t>
        </w:r>
      </w:hyperlink>
    </w:p>
    <w:p w:rsidR="003D7FE0" w:rsidRDefault="003D7FE0" w:rsidP="003D7FE0">
      <w:pPr>
        <w:jc w:val="both"/>
      </w:pPr>
      <w:r>
        <w:t xml:space="preserve">This image is interesting on a number of fronts, not least because most of the listed modes </w:t>
      </w:r>
      <w:r w:rsidR="009646C2">
        <w:t xml:space="preserve">suppose power - </w:t>
      </w:r>
      <w:r>
        <w:t xml:space="preserve">which there was not.  </w:t>
      </w:r>
    </w:p>
    <w:p w:rsidR="003D7FE0" w:rsidRDefault="003D7FE0">
      <w:pPr>
        <w:pStyle w:val="EndnoteText"/>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103107"/>
      <w:docPartObj>
        <w:docPartGallery w:val="Page Numbers (Bottom of Page)"/>
        <w:docPartUnique/>
      </w:docPartObj>
    </w:sdtPr>
    <w:sdtEndPr>
      <w:rPr>
        <w:noProof/>
      </w:rPr>
    </w:sdtEndPr>
    <w:sdtContent>
      <w:p w:rsidR="008075A1" w:rsidRDefault="008075A1">
        <w:pPr>
          <w:pStyle w:val="Footer"/>
          <w:jc w:val="center"/>
        </w:pPr>
        <w:r>
          <w:fldChar w:fldCharType="begin"/>
        </w:r>
        <w:r>
          <w:instrText xml:space="preserve"> PAGE   \* MERGEFORMAT </w:instrText>
        </w:r>
        <w:r>
          <w:fldChar w:fldCharType="separate"/>
        </w:r>
        <w:r w:rsidR="00B47A46">
          <w:rPr>
            <w:noProof/>
          </w:rPr>
          <w:t>4</w:t>
        </w:r>
        <w:r>
          <w:rPr>
            <w:noProof/>
          </w:rPr>
          <w:fldChar w:fldCharType="end"/>
        </w:r>
      </w:p>
    </w:sdtContent>
  </w:sdt>
  <w:p w:rsidR="008075A1" w:rsidRDefault="00807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01F" w:rsidRDefault="00F8301F" w:rsidP="0044010E">
      <w:pPr>
        <w:spacing w:after="0" w:line="240" w:lineRule="auto"/>
      </w:pPr>
      <w:r>
        <w:separator/>
      </w:r>
    </w:p>
  </w:footnote>
  <w:footnote w:type="continuationSeparator" w:id="0">
    <w:p w:rsidR="00F8301F" w:rsidRDefault="00F8301F" w:rsidP="004401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zrwdddra09wwe2rr4vz2xevp9rvd0xvtdt&quot;&gt;tipreferences&lt;record-ids&gt;&lt;item&gt;734&lt;/item&gt;&lt;/record-ids&gt;&lt;/item&gt;&lt;/Libraries&gt;"/>
  </w:docVars>
  <w:rsids>
    <w:rsidRoot w:val="0097604D"/>
    <w:rsid w:val="00194BE5"/>
    <w:rsid w:val="00206D9F"/>
    <w:rsid w:val="002467BD"/>
    <w:rsid w:val="00257B99"/>
    <w:rsid w:val="00312FF8"/>
    <w:rsid w:val="00344699"/>
    <w:rsid w:val="0035131C"/>
    <w:rsid w:val="003A4604"/>
    <w:rsid w:val="003D7FE0"/>
    <w:rsid w:val="0044010E"/>
    <w:rsid w:val="00450008"/>
    <w:rsid w:val="005B44AB"/>
    <w:rsid w:val="00666F58"/>
    <w:rsid w:val="006A4EC3"/>
    <w:rsid w:val="006B6F46"/>
    <w:rsid w:val="0076636F"/>
    <w:rsid w:val="0079665F"/>
    <w:rsid w:val="00805194"/>
    <w:rsid w:val="008075A1"/>
    <w:rsid w:val="00865112"/>
    <w:rsid w:val="008A6019"/>
    <w:rsid w:val="009646C2"/>
    <w:rsid w:val="0097604D"/>
    <w:rsid w:val="0098123B"/>
    <w:rsid w:val="00AC69B3"/>
    <w:rsid w:val="00B47A46"/>
    <w:rsid w:val="00BA6EEE"/>
    <w:rsid w:val="00BA7AAB"/>
    <w:rsid w:val="00C51E43"/>
    <w:rsid w:val="00D67397"/>
    <w:rsid w:val="00DF7F12"/>
    <w:rsid w:val="00E159F2"/>
    <w:rsid w:val="00E56A6C"/>
    <w:rsid w:val="00E66D61"/>
    <w:rsid w:val="00F8301F"/>
    <w:rsid w:val="00FE4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8123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98123B"/>
    <w:rPr>
      <w:rFonts w:ascii="Calibri" w:hAnsi="Calibri"/>
      <w:noProof/>
      <w:lang w:val="en-US"/>
    </w:rPr>
  </w:style>
  <w:style w:type="paragraph" w:customStyle="1" w:styleId="EndNoteBibliography">
    <w:name w:val="EndNote Bibliography"/>
    <w:basedOn w:val="Normal"/>
    <w:link w:val="EndNoteBibliographyChar"/>
    <w:rsid w:val="0098123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98123B"/>
    <w:rPr>
      <w:rFonts w:ascii="Calibri" w:hAnsi="Calibri"/>
      <w:noProof/>
      <w:lang w:val="en-US"/>
    </w:rPr>
  </w:style>
  <w:style w:type="paragraph" w:styleId="EndnoteText">
    <w:name w:val="endnote text"/>
    <w:basedOn w:val="Normal"/>
    <w:link w:val="EndnoteTextChar"/>
    <w:uiPriority w:val="99"/>
    <w:semiHidden/>
    <w:unhideWhenUsed/>
    <w:rsid w:val="004401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010E"/>
    <w:rPr>
      <w:sz w:val="20"/>
      <w:szCs w:val="20"/>
    </w:rPr>
  </w:style>
  <w:style w:type="character" w:styleId="EndnoteReference">
    <w:name w:val="endnote reference"/>
    <w:basedOn w:val="DefaultParagraphFont"/>
    <w:uiPriority w:val="99"/>
    <w:semiHidden/>
    <w:unhideWhenUsed/>
    <w:rsid w:val="0044010E"/>
    <w:rPr>
      <w:vertAlign w:val="superscript"/>
    </w:rPr>
  </w:style>
  <w:style w:type="character" w:styleId="Hyperlink">
    <w:name w:val="Hyperlink"/>
    <w:basedOn w:val="DefaultParagraphFont"/>
    <w:uiPriority w:val="99"/>
    <w:unhideWhenUsed/>
    <w:rsid w:val="00E66D61"/>
    <w:rPr>
      <w:color w:val="0000FF" w:themeColor="hyperlink"/>
      <w:u w:val="single"/>
    </w:rPr>
  </w:style>
  <w:style w:type="paragraph" w:styleId="BalloonText">
    <w:name w:val="Balloon Text"/>
    <w:basedOn w:val="Normal"/>
    <w:link w:val="BalloonTextChar"/>
    <w:uiPriority w:val="99"/>
    <w:semiHidden/>
    <w:unhideWhenUsed/>
    <w:rsid w:val="00E66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D61"/>
    <w:rPr>
      <w:rFonts w:ascii="Tahoma" w:hAnsi="Tahoma" w:cs="Tahoma"/>
      <w:sz w:val="16"/>
      <w:szCs w:val="16"/>
    </w:rPr>
  </w:style>
  <w:style w:type="paragraph" w:styleId="Header">
    <w:name w:val="header"/>
    <w:basedOn w:val="Normal"/>
    <w:link w:val="HeaderChar"/>
    <w:uiPriority w:val="99"/>
    <w:unhideWhenUsed/>
    <w:rsid w:val="00766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36F"/>
  </w:style>
  <w:style w:type="paragraph" w:styleId="Footer">
    <w:name w:val="footer"/>
    <w:basedOn w:val="Normal"/>
    <w:link w:val="FooterChar"/>
    <w:uiPriority w:val="99"/>
    <w:unhideWhenUsed/>
    <w:rsid w:val="00766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8123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98123B"/>
    <w:rPr>
      <w:rFonts w:ascii="Calibri" w:hAnsi="Calibri"/>
      <w:noProof/>
      <w:lang w:val="en-US"/>
    </w:rPr>
  </w:style>
  <w:style w:type="paragraph" w:customStyle="1" w:styleId="EndNoteBibliography">
    <w:name w:val="EndNote Bibliography"/>
    <w:basedOn w:val="Normal"/>
    <w:link w:val="EndNoteBibliographyChar"/>
    <w:rsid w:val="0098123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98123B"/>
    <w:rPr>
      <w:rFonts w:ascii="Calibri" w:hAnsi="Calibri"/>
      <w:noProof/>
      <w:lang w:val="en-US"/>
    </w:rPr>
  </w:style>
  <w:style w:type="paragraph" w:styleId="EndnoteText">
    <w:name w:val="endnote text"/>
    <w:basedOn w:val="Normal"/>
    <w:link w:val="EndnoteTextChar"/>
    <w:uiPriority w:val="99"/>
    <w:semiHidden/>
    <w:unhideWhenUsed/>
    <w:rsid w:val="004401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010E"/>
    <w:rPr>
      <w:sz w:val="20"/>
      <w:szCs w:val="20"/>
    </w:rPr>
  </w:style>
  <w:style w:type="character" w:styleId="EndnoteReference">
    <w:name w:val="endnote reference"/>
    <w:basedOn w:val="DefaultParagraphFont"/>
    <w:uiPriority w:val="99"/>
    <w:semiHidden/>
    <w:unhideWhenUsed/>
    <w:rsid w:val="0044010E"/>
    <w:rPr>
      <w:vertAlign w:val="superscript"/>
    </w:rPr>
  </w:style>
  <w:style w:type="character" w:styleId="Hyperlink">
    <w:name w:val="Hyperlink"/>
    <w:basedOn w:val="DefaultParagraphFont"/>
    <w:uiPriority w:val="99"/>
    <w:unhideWhenUsed/>
    <w:rsid w:val="00E66D61"/>
    <w:rPr>
      <w:color w:val="0000FF" w:themeColor="hyperlink"/>
      <w:u w:val="single"/>
    </w:rPr>
  </w:style>
  <w:style w:type="paragraph" w:styleId="BalloonText">
    <w:name w:val="Balloon Text"/>
    <w:basedOn w:val="Normal"/>
    <w:link w:val="BalloonTextChar"/>
    <w:uiPriority w:val="99"/>
    <w:semiHidden/>
    <w:unhideWhenUsed/>
    <w:rsid w:val="00E66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D61"/>
    <w:rPr>
      <w:rFonts w:ascii="Tahoma" w:hAnsi="Tahoma" w:cs="Tahoma"/>
      <w:sz w:val="16"/>
      <w:szCs w:val="16"/>
    </w:rPr>
  </w:style>
  <w:style w:type="paragraph" w:styleId="Header">
    <w:name w:val="header"/>
    <w:basedOn w:val="Normal"/>
    <w:link w:val="HeaderChar"/>
    <w:uiPriority w:val="99"/>
    <w:unhideWhenUsed/>
    <w:rsid w:val="00766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36F"/>
  </w:style>
  <w:style w:type="paragraph" w:styleId="Footer">
    <w:name w:val="footer"/>
    <w:basedOn w:val="Normal"/>
    <w:link w:val="FooterChar"/>
    <w:uiPriority w:val="99"/>
    <w:unhideWhenUsed/>
    <w:rsid w:val="00766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enwl.co.uk/news-and-press/case-studies/storm-desmond-december-2015/2015/12/05/05-12-15-storm-desmond-causes-damage-to-power-network-in-cumbri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3127E-BBA5-4F06-B724-2E368B40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Shove, Elizabeth</dc:creator>
  <cp:lastModifiedBy>Shove, Elizabeth</cp:lastModifiedBy>
  <cp:revision>2</cp:revision>
  <cp:lastPrinted>2016-01-08T13:27:00Z</cp:lastPrinted>
  <dcterms:created xsi:type="dcterms:W3CDTF">2016-01-19T17:05:00Z</dcterms:created>
  <dcterms:modified xsi:type="dcterms:W3CDTF">2016-01-19T17:05:00Z</dcterms:modified>
</cp:coreProperties>
</file>