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CE5172" w14:textId="2ECBB697" w:rsidR="00AA16D9" w:rsidRPr="00392779" w:rsidRDefault="00607B5A">
      <w:pPr>
        <w:rPr>
          <w:b/>
        </w:rPr>
      </w:pPr>
      <w:r>
        <w:rPr>
          <w:b/>
        </w:rPr>
        <w:t xml:space="preserve">Cutting off and being cut off: </w:t>
      </w:r>
      <w:r w:rsidR="00C45078">
        <w:rPr>
          <w:b/>
        </w:rPr>
        <w:t>r</w:t>
      </w:r>
      <w:r w:rsidR="00AA16D9" w:rsidRPr="00392779">
        <w:rPr>
          <w:b/>
        </w:rPr>
        <w:t xml:space="preserve">eflections on </w:t>
      </w:r>
      <w:r w:rsidR="00C45078">
        <w:rPr>
          <w:b/>
        </w:rPr>
        <w:t xml:space="preserve">disconnection and </w:t>
      </w:r>
      <w:r w:rsidR="00FE66E9">
        <w:rPr>
          <w:b/>
        </w:rPr>
        <w:t>the right to electricity</w:t>
      </w:r>
    </w:p>
    <w:p w14:paraId="0E405E05" w14:textId="6D35C4D4" w:rsidR="00FE66E9" w:rsidRDefault="00AA16D9" w:rsidP="00C45078">
      <w:pPr>
        <w:jc w:val="both"/>
      </w:pPr>
      <w:r>
        <w:t xml:space="preserve">Experiencing a relatively prolonged power cut gave </w:t>
      </w:r>
      <w:r w:rsidR="00FE66E9">
        <w:t>us</w:t>
      </w:r>
      <w:r>
        <w:t xml:space="preserve"> pause to think about disconnections in other terms, particularly as experienced by those that are ‘fuel poor’ and that get into energy debt.  Disconnecting customers from energy supplies has been made progressively harder, with regulatory measures ensuring that energy suppliers follow procedures to try and find ways of managing debt and prohibiting disconnections entirely for ‘vulnerable’ customers over the winter period </w:t>
      </w:r>
      <w:r w:rsidR="00096D67">
        <w:t>(t</w:t>
      </w:r>
      <w:r w:rsidR="00C45078">
        <w:t xml:space="preserve">here is </w:t>
      </w:r>
      <w:r w:rsidR="00096D67">
        <w:t>also a voluntary code of practice that the Big 6 follow to never ‘knowingly’ disconnect vulnerable customers</w:t>
      </w:r>
      <w:r w:rsidR="00FE66E9">
        <w:t xml:space="preserve"> at any time of year</w:t>
      </w:r>
      <w:r w:rsidR="00096D67">
        <w:t>)</w:t>
      </w:r>
      <w:r w:rsidR="00FE66E9">
        <w:t>. As shown in the figure d</w:t>
      </w:r>
      <w:r>
        <w:t>isconnection</w:t>
      </w:r>
      <w:r w:rsidR="00FE66E9">
        <w:t>s</w:t>
      </w:r>
      <w:r>
        <w:t xml:space="preserve"> </w:t>
      </w:r>
      <w:r w:rsidR="00AA6738">
        <w:t xml:space="preserve">consequently </w:t>
      </w:r>
      <w:r w:rsidR="00FE66E9">
        <w:t>fluctuate seasonally</w:t>
      </w:r>
      <w:r w:rsidR="00AA6738">
        <w:t xml:space="preserve"> and at a generally low level</w:t>
      </w:r>
      <w:r w:rsidR="00AF04F0">
        <w:t>.</w:t>
      </w:r>
    </w:p>
    <w:p w14:paraId="7F17610C" w14:textId="28B43A35" w:rsidR="00701C3F" w:rsidRDefault="00C45078" w:rsidP="00C45078">
      <w:pPr>
        <w:jc w:val="both"/>
      </w:pPr>
      <w:r>
        <w:rPr>
          <w:noProof/>
          <w:lang w:eastAsia="en-GB"/>
        </w:rPr>
        <mc:AlternateContent>
          <mc:Choice Requires="wps">
            <w:drawing>
              <wp:anchor distT="0" distB="0" distL="114300" distR="114300" simplePos="0" relativeHeight="251659264" behindDoc="0" locked="0" layoutInCell="1" allowOverlap="1" wp14:anchorId="0EE369EE" wp14:editId="156830E6">
                <wp:simplePos x="0" y="0"/>
                <wp:positionH relativeFrom="column">
                  <wp:posOffset>123825</wp:posOffset>
                </wp:positionH>
                <wp:positionV relativeFrom="paragraph">
                  <wp:posOffset>2004695</wp:posOffset>
                </wp:positionV>
                <wp:extent cx="2566035" cy="1403985"/>
                <wp:effectExtent l="0" t="0" r="571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403985"/>
                        </a:xfrm>
                        <a:prstGeom prst="rect">
                          <a:avLst/>
                        </a:prstGeom>
                        <a:solidFill>
                          <a:srgbClr val="FFFFFF"/>
                        </a:solidFill>
                        <a:ln w="9525">
                          <a:noFill/>
                          <a:miter lim="800000"/>
                          <a:headEnd/>
                          <a:tailEnd/>
                        </a:ln>
                      </wps:spPr>
                      <wps:txbx>
                        <w:txbxContent>
                          <w:p w14:paraId="69926B5B" w14:textId="012F985B" w:rsidR="00FE66E9" w:rsidRPr="00FE66E9" w:rsidRDefault="00FE66E9">
                            <w:pPr>
                              <w:rPr>
                                <w:sz w:val="12"/>
                              </w:rPr>
                            </w:pPr>
                            <w:r w:rsidRPr="00FE66E9">
                              <w:rPr>
                                <w:sz w:val="12"/>
                              </w:rPr>
                              <w:t xml:space="preserve">Source </w:t>
                            </w:r>
                            <w:proofErr w:type="spellStart"/>
                            <w:r w:rsidRPr="00FE66E9">
                              <w:rPr>
                                <w:sz w:val="12"/>
                              </w:rPr>
                              <w:t>Ofgem</w:t>
                            </w:r>
                            <w:proofErr w:type="spellEnd"/>
                            <w:r w:rsidRPr="00FE66E9">
                              <w:rPr>
                                <w:sz w:val="12"/>
                              </w:rPr>
                              <w:t xml:space="preserve"> https://www.ofgem.gov.uk/about-us/how-we-work/working-consumers/supplier-performance-social-obligations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5pt;margin-top:157.85pt;width:202.0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" stroked="f">
                <v:textbox style="mso-fit-shape-to-text:t">
                  <w:txbxContent>
                    <w:p w14:paraId="69926B5B" w14:textId="012F985B" w:rsidR="00FE66E9" w:rsidRPr="00FE66E9" w:rsidRDefault="00FE66E9">
                      <w:pPr>
                        <w:rPr>
                          <w:sz w:val="12"/>
                        </w:rPr>
                      </w:pPr>
                      <w:r w:rsidRPr="00FE66E9">
                        <w:rPr>
                          <w:sz w:val="12"/>
                        </w:rPr>
                        <w:t xml:space="preserve">Source </w:t>
                      </w:r>
                      <w:proofErr w:type="spellStart"/>
                      <w:r w:rsidRPr="00FE66E9">
                        <w:rPr>
                          <w:sz w:val="12"/>
                        </w:rPr>
                        <w:t>Ofgem</w:t>
                      </w:r>
                      <w:proofErr w:type="spellEnd"/>
                      <w:r w:rsidRPr="00FE66E9">
                        <w:rPr>
                          <w:sz w:val="12"/>
                        </w:rPr>
                        <w:t xml:space="preserve"> https://www.ofgem.gov.uk/about-us/how-we-work/working-consumers/supplier-performance-social-obligations</w:t>
                      </w:r>
                    </w:p>
                  </w:txbxContent>
                </v:textbox>
                <w10:wrap type="square"/>
              </v:shape>
            </w:pict>
          </mc:Fallback>
        </mc:AlternateContent>
      </w:r>
      <w:r w:rsidR="00FE66E9">
        <w:rPr>
          <w:noProof/>
          <w:lang w:eastAsia="en-GB"/>
        </w:rPr>
        <w:drawing>
          <wp:anchor distT="0" distB="0" distL="114300" distR="114300" simplePos="0" relativeHeight="251660288" behindDoc="0" locked="0" layoutInCell="1" allowOverlap="1" wp14:anchorId="1B37780D" wp14:editId="568215D3">
            <wp:simplePos x="0" y="0"/>
            <wp:positionH relativeFrom="column">
              <wp:posOffset>0</wp:posOffset>
            </wp:positionH>
            <wp:positionV relativeFrom="paragraph">
              <wp:posOffset>-1905</wp:posOffset>
            </wp:positionV>
            <wp:extent cx="2700020" cy="19481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700020" cy="1948180"/>
                    </a:xfrm>
                    <a:prstGeom prst="rect">
                      <a:avLst/>
                    </a:prstGeom>
                  </pic:spPr>
                </pic:pic>
              </a:graphicData>
            </a:graphic>
            <wp14:sizeRelH relativeFrom="page">
              <wp14:pctWidth>0</wp14:pctWidth>
            </wp14:sizeRelH>
            <wp14:sizeRelV relativeFrom="page">
              <wp14:pctHeight>0</wp14:pctHeight>
            </wp14:sizeRelV>
          </wp:anchor>
        </w:drawing>
      </w:r>
      <w:r w:rsidR="00AA16D9">
        <w:t xml:space="preserve"> One of the i</w:t>
      </w:r>
      <w:r w:rsidR="00AF04F0">
        <w:t>nter</w:t>
      </w:r>
      <w:r w:rsidR="00AA16D9">
        <w:t xml:space="preserve">mediate steps on the way to disconnection is for a customer to have a pre-payment meter fitted, which means if they do not top up the meter sufficiently they will ‘self-disconnect’ for a period until further </w:t>
      </w:r>
      <w:r w:rsidR="00FD5F88">
        <w:t xml:space="preserve">pre-payments are made. </w:t>
      </w:r>
      <w:r w:rsidR="004B0BA8">
        <w:t xml:space="preserve">Whilst consumer advocate groups </w:t>
      </w:r>
      <w:r w:rsidR="00096D67">
        <w:t xml:space="preserve">have been </w:t>
      </w:r>
      <w:r w:rsidR="00DF580A">
        <w:t xml:space="preserve">keen to highlight the disadvantages </w:t>
      </w:r>
      <w:r w:rsidR="00096D67">
        <w:t>and higher energy costs that result from having a</w:t>
      </w:r>
      <w:r w:rsidR="00DF580A">
        <w:t xml:space="preserve"> prepayment meter, </w:t>
      </w:r>
      <w:r w:rsidR="00AF04F0">
        <w:t xml:space="preserve">research shows that </w:t>
      </w:r>
      <w:r w:rsidR="00DF580A">
        <w:t xml:space="preserve">many households </w:t>
      </w:r>
      <w:r w:rsidR="00AF04F0">
        <w:t xml:space="preserve">do </w:t>
      </w:r>
      <w:r w:rsidR="00DF580A">
        <w:t xml:space="preserve">choose to have a meter installed </w:t>
      </w:r>
      <w:r w:rsidR="00AA6738">
        <w:t>welcome the fact that</w:t>
      </w:r>
      <w:r w:rsidR="00DF580A">
        <w:t xml:space="preserve"> th</w:t>
      </w:r>
      <w:r w:rsidR="00AF04F0">
        <w:t>is technological arrangement</w:t>
      </w:r>
      <w:r w:rsidR="00DF580A">
        <w:t xml:space="preserve"> allow</w:t>
      </w:r>
      <w:r w:rsidR="00AF04F0">
        <w:t>s</w:t>
      </w:r>
      <w:r w:rsidR="00DF580A">
        <w:t xml:space="preserve"> them to control the amount they spend on energy </w:t>
      </w:r>
      <w:r w:rsidR="00AF04F0">
        <w:t xml:space="preserve">rather than being faced with </w:t>
      </w:r>
      <w:r w:rsidR="00DF580A">
        <w:t>a bill for an un</w:t>
      </w:r>
      <w:r w:rsidR="00AF04F0">
        <w:t>predictable</w:t>
      </w:r>
      <w:r w:rsidR="00DF580A">
        <w:t xml:space="preserve"> amount at the end of the month.</w:t>
      </w:r>
      <w:r w:rsidR="00FD5F88">
        <w:t xml:space="preserve"> </w:t>
      </w:r>
      <w:r w:rsidR="00F779CD">
        <w:t xml:space="preserve">The number of households paying for their energy through prepayment meters is rising every year, with </w:t>
      </w:r>
      <w:r w:rsidR="00413AFA">
        <w:t>300,000 electricity prepayment meters installed in 2014 (OFGEM social reporting 2015).</w:t>
      </w:r>
      <w:r w:rsidR="001923FE">
        <w:t xml:space="preserve"> </w:t>
      </w:r>
    </w:p>
    <w:p w14:paraId="3EF2F302" w14:textId="151825F3" w:rsidR="00082D61" w:rsidRDefault="00FD5F88" w:rsidP="00C45078">
      <w:pPr>
        <w:jc w:val="both"/>
      </w:pPr>
      <w:r>
        <w:t xml:space="preserve">Both forced disconnection and self-disconnection </w:t>
      </w:r>
      <w:r w:rsidR="00AA6738">
        <w:t xml:space="preserve">through not ‘topping up’ the meter </w:t>
      </w:r>
      <w:r>
        <w:t xml:space="preserve">are clearly different from experiencing an unplanned and sudden City-wide power cut.  The system-wide effects are not experienced, electricity is still flowing outside of the home. </w:t>
      </w:r>
      <w:r w:rsidR="00AF04F0">
        <w:t xml:space="preserve">Unlike </w:t>
      </w:r>
      <w:r w:rsidR="00AA6738">
        <w:t>a</w:t>
      </w:r>
      <w:r w:rsidR="00AF04F0">
        <w:t xml:space="preserve"> power cut, t</w:t>
      </w:r>
      <w:r>
        <w:t xml:space="preserve">here is at least some degree of expectation that power will be lost </w:t>
      </w:r>
      <w:r w:rsidR="001D4D7E">
        <w:t xml:space="preserve">from a </w:t>
      </w:r>
      <w:r w:rsidR="00AF04F0">
        <w:t>known</w:t>
      </w:r>
      <w:r w:rsidR="001D4D7E">
        <w:t xml:space="preserve"> </w:t>
      </w:r>
      <w:r w:rsidR="00AF04F0">
        <w:t xml:space="preserve">point in </w:t>
      </w:r>
      <w:r w:rsidR="001D4D7E">
        <w:t xml:space="preserve">time onwards, </w:t>
      </w:r>
      <w:r>
        <w:t xml:space="preserve">and some sense of how long that might be for.  </w:t>
      </w:r>
      <w:r w:rsidR="001D4D7E">
        <w:t xml:space="preserve">Indeed we could speculate that those households ‘used’ to the power going off more regularly would have been more resilient than others when the Lancaster-wide power cut happened, more used to coping, adapting and living at home without normal electricity flows. However such speculation is in danger of normalising and consequently submerging the impacts and consequences of being disconnected, </w:t>
      </w:r>
      <w:r w:rsidR="00392779">
        <w:t>through</w:t>
      </w:r>
      <w:r w:rsidR="001D4D7E">
        <w:t xml:space="preserve"> whatever circumstances.</w:t>
      </w:r>
      <w:r w:rsidR="00082D61">
        <w:t xml:space="preserve">  </w:t>
      </w:r>
    </w:p>
    <w:p w14:paraId="44192944" w14:textId="56CCB600" w:rsidR="00A4130D" w:rsidRPr="00A4130D" w:rsidRDefault="00A4130D" w:rsidP="00C45078">
      <w:pPr>
        <w:jc w:val="both"/>
      </w:pPr>
      <w:r w:rsidRPr="00A4130D">
        <w:rPr>
          <w:rFonts w:cs="Helvetica"/>
          <w:lang w:val="en-US"/>
        </w:rPr>
        <w:t>Recent work (</w:t>
      </w:r>
      <w:proofErr w:type="spellStart"/>
      <w:r w:rsidRPr="00A4130D">
        <w:rPr>
          <w:rFonts w:cs="Helvetica"/>
          <w:lang w:val="en-US"/>
        </w:rPr>
        <w:t>Middlemiss</w:t>
      </w:r>
      <w:proofErr w:type="spellEnd"/>
      <w:r w:rsidRPr="00A4130D">
        <w:rPr>
          <w:rFonts w:cs="Helvetica"/>
          <w:lang w:val="en-US"/>
        </w:rPr>
        <w:t xml:space="preserve"> and Gillard 2015) on the lived experience of struggling to afford energy has highlighted the importance </w:t>
      </w:r>
      <w:r w:rsidR="00AF04F0">
        <w:rPr>
          <w:rFonts w:cs="Helvetica"/>
          <w:lang w:val="en-US"/>
        </w:rPr>
        <w:t>of</w:t>
      </w:r>
      <w:r w:rsidRPr="00A4130D">
        <w:rPr>
          <w:rFonts w:cs="Helvetica"/>
          <w:lang w:val="en-US"/>
        </w:rPr>
        <w:t xml:space="preserve"> social relationships </w:t>
      </w:r>
      <w:r w:rsidR="00AF04F0">
        <w:rPr>
          <w:rFonts w:cs="Helvetica"/>
          <w:lang w:val="en-US"/>
        </w:rPr>
        <w:t>in</w:t>
      </w:r>
      <w:r w:rsidRPr="00A4130D">
        <w:rPr>
          <w:rFonts w:cs="Helvetica"/>
          <w:lang w:val="en-US"/>
        </w:rPr>
        <w:t xml:space="preserve"> balancing finances and </w:t>
      </w:r>
      <w:r w:rsidR="00AF04F0">
        <w:rPr>
          <w:rFonts w:cs="Helvetica"/>
          <w:lang w:val="en-US"/>
        </w:rPr>
        <w:t xml:space="preserve">accessing </w:t>
      </w:r>
      <w:r w:rsidRPr="00A4130D">
        <w:rPr>
          <w:rFonts w:cs="Helvetica"/>
          <w:lang w:val="en-US"/>
        </w:rPr>
        <w:t xml:space="preserve">essential energy services. </w:t>
      </w:r>
      <w:r w:rsidR="00AF04F0">
        <w:rPr>
          <w:rFonts w:cs="Helvetica"/>
          <w:lang w:val="en-US"/>
        </w:rPr>
        <w:t>For example, g</w:t>
      </w:r>
      <w:r w:rsidRPr="00A4130D">
        <w:rPr>
          <w:rFonts w:cs="Helvetica"/>
          <w:lang w:val="en-US"/>
        </w:rPr>
        <w:t>oing to a relative or friends' house to do washing or cooking/eating</w:t>
      </w:r>
      <w:r w:rsidR="00AF04F0">
        <w:rPr>
          <w:rFonts w:cs="Helvetica"/>
          <w:lang w:val="en-US"/>
        </w:rPr>
        <w:t xml:space="preserve"> has been seen as a way of coping</w:t>
      </w:r>
      <w:r w:rsidRPr="00A4130D">
        <w:rPr>
          <w:rFonts w:cs="Helvetica"/>
          <w:lang w:val="en-US"/>
        </w:rPr>
        <w:t xml:space="preserve"> when money </w:t>
      </w:r>
      <w:r w:rsidR="00C73A77">
        <w:rPr>
          <w:rFonts w:cs="Helvetica"/>
          <w:lang w:val="en-US"/>
        </w:rPr>
        <w:t xml:space="preserve">is not available </w:t>
      </w:r>
      <w:r w:rsidRPr="00A4130D">
        <w:rPr>
          <w:rFonts w:cs="Helvetica"/>
          <w:lang w:val="en-US"/>
        </w:rPr>
        <w:t xml:space="preserve">to spend on energy. </w:t>
      </w:r>
      <w:r w:rsidR="00096D67">
        <w:rPr>
          <w:rFonts w:cs="Helvetica"/>
          <w:lang w:val="en-US"/>
        </w:rPr>
        <w:t xml:space="preserve">In </w:t>
      </w:r>
      <w:r w:rsidR="00AF04F0">
        <w:rPr>
          <w:rFonts w:cs="Helvetica"/>
          <w:lang w:val="en-US"/>
        </w:rPr>
        <w:t xml:space="preserve">the </w:t>
      </w:r>
      <w:r w:rsidR="00096D67">
        <w:rPr>
          <w:rFonts w:cs="Helvetica"/>
          <w:lang w:val="en-US"/>
        </w:rPr>
        <w:t>Lancaster</w:t>
      </w:r>
      <w:r w:rsidR="00AF04F0">
        <w:rPr>
          <w:rFonts w:cs="Helvetica"/>
          <w:lang w:val="en-US"/>
        </w:rPr>
        <w:t xml:space="preserve"> power cut,</w:t>
      </w:r>
      <w:r w:rsidR="00096D67">
        <w:rPr>
          <w:rFonts w:cs="Helvetica"/>
          <w:lang w:val="en-US"/>
        </w:rPr>
        <w:t xml:space="preserve"> w</w:t>
      </w:r>
      <w:r w:rsidRPr="00A4130D">
        <w:rPr>
          <w:rFonts w:cs="Helvetica"/>
          <w:lang w:val="en-US"/>
        </w:rPr>
        <w:t xml:space="preserve">ith reconnection to electricity </w:t>
      </w:r>
      <w:r w:rsidR="00096D67">
        <w:rPr>
          <w:rFonts w:cs="Helvetica"/>
          <w:lang w:val="en-US"/>
        </w:rPr>
        <w:t xml:space="preserve">taking place haphazardly </w:t>
      </w:r>
      <w:r w:rsidRPr="00A4130D">
        <w:rPr>
          <w:rFonts w:cs="Helvetica"/>
          <w:lang w:val="en-US"/>
        </w:rPr>
        <w:t xml:space="preserve">across the city, the importance of social relations in </w:t>
      </w:r>
      <w:r w:rsidR="00AA6738">
        <w:rPr>
          <w:rFonts w:cs="Helvetica"/>
          <w:lang w:val="en-US"/>
        </w:rPr>
        <w:t>enabling the reproduction of well-being</w:t>
      </w:r>
      <w:r w:rsidRPr="00A4130D">
        <w:rPr>
          <w:rFonts w:cs="Helvetica"/>
          <w:lang w:val="en-US"/>
        </w:rPr>
        <w:t xml:space="preserve"> - being able to cook food for instance or keeping warm - was also evident</w:t>
      </w:r>
      <w:r w:rsidR="00096D67">
        <w:rPr>
          <w:rFonts w:cs="Helvetica"/>
          <w:lang w:val="en-US"/>
        </w:rPr>
        <w:t xml:space="preserve">. </w:t>
      </w:r>
      <w:r w:rsidR="00711640">
        <w:rPr>
          <w:rFonts w:cs="Helvetica"/>
          <w:lang w:val="en-US"/>
        </w:rPr>
        <w:t>As others have discussed in their writing, d</w:t>
      </w:r>
      <w:r w:rsidR="00C73A77">
        <w:rPr>
          <w:rFonts w:cs="Helvetica"/>
          <w:lang w:val="en-US"/>
        </w:rPr>
        <w:t xml:space="preserve">uring the power cut </w:t>
      </w:r>
      <w:r w:rsidRPr="00A4130D">
        <w:rPr>
          <w:rFonts w:cs="Helvetica"/>
          <w:lang w:val="en-US"/>
        </w:rPr>
        <w:t xml:space="preserve">people gathered together where electricity had been reconnected or other energy sources could be </w:t>
      </w:r>
      <w:r w:rsidRPr="00A4130D">
        <w:rPr>
          <w:rFonts w:cs="Helvetica"/>
          <w:lang w:val="en-US"/>
        </w:rPr>
        <w:lastRenderedPageBreak/>
        <w:t xml:space="preserve">used for cooking and keeping warm, such as wood burners or gas stoves. </w:t>
      </w:r>
      <w:r w:rsidR="00AF04F0">
        <w:rPr>
          <w:rFonts w:cs="Helvetica"/>
          <w:lang w:val="en-US"/>
        </w:rPr>
        <w:t xml:space="preserve">But </w:t>
      </w:r>
      <w:r w:rsidR="00AA6738">
        <w:rPr>
          <w:rFonts w:cs="Helvetica"/>
          <w:lang w:val="en-US"/>
        </w:rPr>
        <w:t xml:space="preserve">as is the case for those disconnected in other ways, </w:t>
      </w:r>
      <w:r w:rsidR="00CE20A4">
        <w:rPr>
          <w:rFonts w:cs="Helvetica"/>
          <w:lang w:val="en-US"/>
        </w:rPr>
        <w:t xml:space="preserve">these </w:t>
      </w:r>
      <w:r w:rsidR="00AF04F0">
        <w:rPr>
          <w:rFonts w:cs="Helvetica"/>
          <w:lang w:val="en-US"/>
        </w:rPr>
        <w:t xml:space="preserve">social relationships </w:t>
      </w:r>
      <w:r w:rsidR="00AA6738">
        <w:rPr>
          <w:rFonts w:cs="Helvetica"/>
          <w:lang w:val="en-US"/>
        </w:rPr>
        <w:t>were</w:t>
      </w:r>
      <w:r w:rsidR="00AF04F0">
        <w:rPr>
          <w:rFonts w:cs="Helvetica"/>
          <w:lang w:val="en-US"/>
        </w:rPr>
        <w:t xml:space="preserve"> uneven in their density and strength</w:t>
      </w:r>
      <w:r w:rsidR="00711640">
        <w:rPr>
          <w:rFonts w:cs="Helvetica"/>
          <w:lang w:val="en-US"/>
        </w:rPr>
        <w:t>, some c</w:t>
      </w:r>
      <w:r w:rsidR="00CE20A4">
        <w:rPr>
          <w:rFonts w:cs="Helvetica"/>
          <w:lang w:val="en-US"/>
        </w:rPr>
        <w:t>ould</w:t>
      </w:r>
      <w:r w:rsidR="00711640">
        <w:rPr>
          <w:rFonts w:cs="Helvetica"/>
          <w:lang w:val="en-US"/>
        </w:rPr>
        <w:t xml:space="preserve"> </w:t>
      </w:r>
      <w:proofErr w:type="spellStart"/>
      <w:r w:rsidR="00711640">
        <w:rPr>
          <w:rFonts w:cs="Helvetica"/>
          <w:lang w:val="en-US"/>
        </w:rPr>
        <w:t>mobilise</w:t>
      </w:r>
      <w:proofErr w:type="spellEnd"/>
      <w:r w:rsidR="00711640">
        <w:rPr>
          <w:rFonts w:cs="Helvetica"/>
          <w:lang w:val="en-US"/>
        </w:rPr>
        <w:t xml:space="preserve"> them whilst others </w:t>
      </w:r>
      <w:r w:rsidR="00CE20A4">
        <w:rPr>
          <w:rFonts w:cs="Helvetica"/>
          <w:lang w:val="en-US"/>
        </w:rPr>
        <w:t>could not. And importantly such differentiated patterns of social isolation</w:t>
      </w:r>
      <w:r w:rsidR="00711640">
        <w:rPr>
          <w:rFonts w:cs="Helvetica"/>
          <w:lang w:val="en-US"/>
        </w:rPr>
        <w:t xml:space="preserve"> are not independent of</w:t>
      </w:r>
      <w:r w:rsidR="00CE20A4">
        <w:rPr>
          <w:rFonts w:cs="Helvetica"/>
          <w:lang w:val="en-US"/>
        </w:rPr>
        <w:t xml:space="preserve"> indicators of</w:t>
      </w:r>
      <w:r w:rsidR="00711640">
        <w:rPr>
          <w:rFonts w:cs="Helvetica"/>
          <w:lang w:val="en-US"/>
        </w:rPr>
        <w:t xml:space="preserve"> vulnerab</w:t>
      </w:r>
      <w:r w:rsidR="00CE20A4">
        <w:rPr>
          <w:rFonts w:cs="Helvetica"/>
          <w:lang w:val="en-US"/>
        </w:rPr>
        <w:t xml:space="preserve">ility to the consequences of losing power (in whatever terms). </w:t>
      </w:r>
      <w:r w:rsidR="00AF04F0">
        <w:rPr>
          <w:rFonts w:cs="Helvetica"/>
          <w:lang w:val="en-US"/>
        </w:rPr>
        <w:t xml:space="preserve"> </w:t>
      </w:r>
    </w:p>
    <w:p w14:paraId="0DE7722A" w14:textId="6E73B33E" w:rsidR="00FD5F88" w:rsidRDefault="00082D61" w:rsidP="00C45078">
      <w:pPr>
        <w:jc w:val="both"/>
      </w:pPr>
      <w:r>
        <w:t xml:space="preserve">It is instructive </w:t>
      </w:r>
      <w:r w:rsidR="00783C7F">
        <w:t xml:space="preserve">therefore </w:t>
      </w:r>
      <w:r>
        <w:t>to have gone through a short period where ‘electricity was not available to power the technologies integral to social practices that constitute the reproduction of everyday well-being</w:t>
      </w:r>
      <w:r w:rsidR="001D4D7E">
        <w:t xml:space="preserve"> </w:t>
      </w:r>
      <w:r>
        <w:t>in contemporary society’. Electricity has become now a</w:t>
      </w:r>
      <w:r w:rsidR="00783C7F">
        <w:t>n</w:t>
      </w:r>
      <w:r>
        <w:t xml:space="preserve"> essential </w:t>
      </w:r>
      <w:r w:rsidR="00783C7F">
        <w:t>ingredient</w:t>
      </w:r>
      <w:r>
        <w:t xml:space="preserve"> </w:t>
      </w:r>
      <w:r w:rsidR="00783C7F">
        <w:t xml:space="preserve">of </w:t>
      </w:r>
      <w:r>
        <w:t>so many aspects of everyday life</w:t>
      </w:r>
      <w:r w:rsidR="00783C7F">
        <w:t xml:space="preserve"> and the sustaining of a minimum level of well-being</w:t>
      </w:r>
      <w:r>
        <w:t xml:space="preserve"> </w:t>
      </w:r>
      <w:r w:rsidR="00CE20A4">
        <w:t xml:space="preserve">(in a UK context) </w:t>
      </w:r>
      <w:r w:rsidR="00783C7F">
        <w:t xml:space="preserve">that </w:t>
      </w:r>
      <w:r w:rsidR="00096D67">
        <w:t xml:space="preserve">arguably </w:t>
      </w:r>
      <w:r>
        <w:t>it should really be ‘available to all’</w:t>
      </w:r>
      <w:r w:rsidR="00783C7F">
        <w:t xml:space="preserve">, not just in terms of access (infrastructure) but also flow (use). </w:t>
      </w:r>
      <w:r w:rsidR="006A577E">
        <w:t xml:space="preserve">Realising demand </w:t>
      </w:r>
      <w:r w:rsidR="006A577E" w:rsidRPr="00CE20A4">
        <w:rPr>
          <w:i/>
        </w:rPr>
        <w:t xml:space="preserve">at </w:t>
      </w:r>
      <w:r w:rsidR="00CE20A4">
        <w:rPr>
          <w:i/>
        </w:rPr>
        <w:t>a minimum</w:t>
      </w:r>
      <w:r w:rsidR="006A577E" w:rsidRPr="00CE20A4">
        <w:rPr>
          <w:i/>
        </w:rPr>
        <w:t xml:space="preserve"> level</w:t>
      </w:r>
      <w:r w:rsidR="006A577E">
        <w:t xml:space="preserve"> should </w:t>
      </w:r>
      <w:r w:rsidR="00711640">
        <w:t xml:space="preserve">therefore </w:t>
      </w:r>
      <w:r w:rsidR="006A577E">
        <w:t xml:space="preserve">be an ongoing right independent of affordability. </w:t>
      </w:r>
      <w:r>
        <w:t xml:space="preserve">Water is treated so, disconnection of households </w:t>
      </w:r>
      <w:r w:rsidR="00783C7F">
        <w:t xml:space="preserve">from the water supply </w:t>
      </w:r>
      <w:r>
        <w:t xml:space="preserve">is </w:t>
      </w:r>
      <w:r w:rsidR="00CE20A4">
        <w:t xml:space="preserve">now strictly </w:t>
      </w:r>
      <w:r w:rsidR="00783C7F">
        <w:t>prohibited</w:t>
      </w:r>
      <w:r>
        <w:t xml:space="preserve">. Electricity </w:t>
      </w:r>
      <w:r w:rsidR="00CE20A4">
        <w:t xml:space="preserve">has also </w:t>
      </w:r>
      <w:r w:rsidR="00711640">
        <w:t xml:space="preserve">evidently </w:t>
      </w:r>
      <w:r w:rsidR="00CE20A4">
        <w:t xml:space="preserve">become </w:t>
      </w:r>
      <w:r w:rsidR="00711640">
        <w:t>so</w:t>
      </w:r>
      <w:r w:rsidR="006A577E">
        <w:t xml:space="preserve"> </w:t>
      </w:r>
      <w:r>
        <w:t xml:space="preserve">integral to </w:t>
      </w:r>
      <w:r w:rsidR="006A577E">
        <w:t xml:space="preserve">basic </w:t>
      </w:r>
      <w:r>
        <w:t>safety, to health, to communication</w:t>
      </w:r>
      <w:r w:rsidR="006A577E">
        <w:t xml:space="preserve"> and</w:t>
      </w:r>
      <w:r>
        <w:t xml:space="preserve"> to learning</w:t>
      </w:r>
      <w:r w:rsidR="006A577E">
        <w:t xml:space="preserve"> -</w:t>
      </w:r>
      <w:r>
        <w:t xml:space="preserve"> particularly in households that are powered by electricity alone</w:t>
      </w:r>
      <w:r w:rsidR="006A577E">
        <w:t xml:space="preserve"> – </w:t>
      </w:r>
      <w:r w:rsidR="00711640">
        <w:t xml:space="preserve">that there is real </w:t>
      </w:r>
      <w:r w:rsidR="00096D67">
        <w:t xml:space="preserve">case for its </w:t>
      </w:r>
      <w:r w:rsidR="00711640">
        <w:t xml:space="preserve">presence to be guaranteed, </w:t>
      </w:r>
      <w:r w:rsidR="00AA6738">
        <w:t xml:space="preserve">and to be </w:t>
      </w:r>
      <w:r w:rsidR="00711640">
        <w:t>still flowing apart from at times of breakdown and crisis</w:t>
      </w:r>
      <w:r w:rsidR="00CE20A4">
        <w:t xml:space="preserve">. </w:t>
      </w:r>
      <w:r w:rsidR="00783C7F">
        <w:t>The forthcoming world of smart meter technology can limit how much consumption is possible in real time by a household, meaning that instead of disconnection</w:t>
      </w:r>
      <w:r w:rsidR="00CE20A4">
        <w:t xml:space="preserve"> (or </w:t>
      </w:r>
      <w:proofErr w:type="spellStart"/>
      <w:r w:rsidR="00CE20A4">
        <w:t>self disconnection</w:t>
      </w:r>
      <w:proofErr w:type="spellEnd"/>
      <w:r w:rsidR="00CE20A4">
        <w:t>)</w:t>
      </w:r>
      <w:r w:rsidR="00783C7F">
        <w:t xml:space="preserve"> a minimum level of electricity can be supplied and, if necessary, no more.  </w:t>
      </w:r>
      <w:r w:rsidR="00711640">
        <w:t>A moral question</w:t>
      </w:r>
      <w:r w:rsidR="00CE20A4">
        <w:t xml:space="preserve"> we would argue</w:t>
      </w:r>
      <w:r w:rsidR="00711640">
        <w:t xml:space="preserve">, with an available technological solution. </w:t>
      </w:r>
      <w:bookmarkStart w:id="0" w:name="_GoBack"/>
      <w:bookmarkEnd w:id="0"/>
    </w:p>
    <w:p w14:paraId="69BE2D66" w14:textId="77777777" w:rsidR="00CE20A4" w:rsidRDefault="00CE20A4" w:rsidP="00C45078">
      <w:pPr>
        <w:jc w:val="both"/>
      </w:pPr>
    </w:p>
    <w:p w14:paraId="62DDCE4A" w14:textId="723FCA8A" w:rsidR="00711640" w:rsidRDefault="00711640" w:rsidP="00C45078">
      <w:pPr>
        <w:jc w:val="both"/>
      </w:pPr>
      <w:r>
        <w:t>Gordon Walker and Rose Chard</w:t>
      </w:r>
    </w:p>
    <w:sectPr w:rsidR="007116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D9"/>
    <w:rsid w:val="00082D61"/>
    <w:rsid w:val="00096D67"/>
    <w:rsid w:val="001923FE"/>
    <w:rsid w:val="001D4D7E"/>
    <w:rsid w:val="001E7286"/>
    <w:rsid w:val="00392779"/>
    <w:rsid w:val="00413AFA"/>
    <w:rsid w:val="004B0BA8"/>
    <w:rsid w:val="00607B5A"/>
    <w:rsid w:val="006A577E"/>
    <w:rsid w:val="00701C3F"/>
    <w:rsid w:val="00711640"/>
    <w:rsid w:val="00783C7F"/>
    <w:rsid w:val="007B7828"/>
    <w:rsid w:val="00A4130D"/>
    <w:rsid w:val="00AA16D9"/>
    <w:rsid w:val="00AA6738"/>
    <w:rsid w:val="00AF04F0"/>
    <w:rsid w:val="00C45078"/>
    <w:rsid w:val="00C65CC9"/>
    <w:rsid w:val="00C73A77"/>
    <w:rsid w:val="00CE20A4"/>
    <w:rsid w:val="00D11ACD"/>
    <w:rsid w:val="00DF580A"/>
    <w:rsid w:val="00F4463C"/>
    <w:rsid w:val="00F5594C"/>
    <w:rsid w:val="00F73255"/>
    <w:rsid w:val="00F779CD"/>
    <w:rsid w:val="00FD5F88"/>
    <w:rsid w:val="00FE66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49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6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463C"/>
    <w:rPr>
      <w:rFonts w:ascii="Lucida Grande" w:hAnsi="Lucida Grande"/>
      <w:sz w:val="18"/>
      <w:szCs w:val="18"/>
    </w:rPr>
  </w:style>
  <w:style w:type="character" w:styleId="CommentReference">
    <w:name w:val="annotation reference"/>
    <w:basedOn w:val="DefaultParagraphFont"/>
    <w:uiPriority w:val="99"/>
    <w:semiHidden/>
    <w:unhideWhenUsed/>
    <w:rsid w:val="00F4463C"/>
    <w:rPr>
      <w:sz w:val="18"/>
      <w:szCs w:val="18"/>
    </w:rPr>
  </w:style>
  <w:style w:type="paragraph" w:styleId="CommentText">
    <w:name w:val="annotation text"/>
    <w:basedOn w:val="Normal"/>
    <w:link w:val="CommentTextChar"/>
    <w:uiPriority w:val="99"/>
    <w:semiHidden/>
    <w:unhideWhenUsed/>
    <w:rsid w:val="00F4463C"/>
    <w:pPr>
      <w:spacing w:line="240" w:lineRule="auto"/>
    </w:pPr>
    <w:rPr>
      <w:sz w:val="24"/>
      <w:szCs w:val="24"/>
    </w:rPr>
  </w:style>
  <w:style w:type="character" w:customStyle="1" w:styleId="CommentTextChar">
    <w:name w:val="Comment Text Char"/>
    <w:basedOn w:val="DefaultParagraphFont"/>
    <w:link w:val="CommentText"/>
    <w:uiPriority w:val="99"/>
    <w:semiHidden/>
    <w:rsid w:val="00F4463C"/>
    <w:rPr>
      <w:sz w:val="24"/>
      <w:szCs w:val="24"/>
    </w:rPr>
  </w:style>
  <w:style w:type="paragraph" w:styleId="CommentSubject">
    <w:name w:val="annotation subject"/>
    <w:basedOn w:val="CommentText"/>
    <w:next w:val="CommentText"/>
    <w:link w:val="CommentSubjectChar"/>
    <w:uiPriority w:val="99"/>
    <w:semiHidden/>
    <w:unhideWhenUsed/>
    <w:rsid w:val="00F4463C"/>
    <w:rPr>
      <w:b/>
      <w:bCs/>
      <w:sz w:val="20"/>
      <w:szCs w:val="20"/>
    </w:rPr>
  </w:style>
  <w:style w:type="character" w:customStyle="1" w:styleId="CommentSubjectChar">
    <w:name w:val="Comment Subject Char"/>
    <w:basedOn w:val="CommentTextChar"/>
    <w:link w:val="CommentSubject"/>
    <w:uiPriority w:val="99"/>
    <w:semiHidden/>
    <w:rsid w:val="00F446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463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4463C"/>
    <w:rPr>
      <w:rFonts w:ascii="Lucida Grande" w:hAnsi="Lucida Grande"/>
      <w:sz w:val="18"/>
      <w:szCs w:val="18"/>
    </w:rPr>
  </w:style>
  <w:style w:type="character" w:styleId="CommentReference">
    <w:name w:val="annotation reference"/>
    <w:basedOn w:val="DefaultParagraphFont"/>
    <w:uiPriority w:val="99"/>
    <w:semiHidden/>
    <w:unhideWhenUsed/>
    <w:rsid w:val="00F4463C"/>
    <w:rPr>
      <w:sz w:val="18"/>
      <w:szCs w:val="18"/>
    </w:rPr>
  </w:style>
  <w:style w:type="paragraph" w:styleId="CommentText">
    <w:name w:val="annotation text"/>
    <w:basedOn w:val="Normal"/>
    <w:link w:val="CommentTextChar"/>
    <w:uiPriority w:val="99"/>
    <w:semiHidden/>
    <w:unhideWhenUsed/>
    <w:rsid w:val="00F4463C"/>
    <w:pPr>
      <w:spacing w:line="240" w:lineRule="auto"/>
    </w:pPr>
    <w:rPr>
      <w:sz w:val="24"/>
      <w:szCs w:val="24"/>
    </w:rPr>
  </w:style>
  <w:style w:type="character" w:customStyle="1" w:styleId="CommentTextChar">
    <w:name w:val="Comment Text Char"/>
    <w:basedOn w:val="DefaultParagraphFont"/>
    <w:link w:val="CommentText"/>
    <w:uiPriority w:val="99"/>
    <w:semiHidden/>
    <w:rsid w:val="00F4463C"/>
    <w:rPr>
      <w:sz w:val="24"/>
      <w:szCs w:val="24"/>
    </w:rPr>
  </w:style>
  <w:style w:type="paragraph" w:styleId="CommentSubject">
    <w:name w:val="annotation subject"/>
    <w:basedOn w:val="CommentText"/>
    <w:next w:val="CommentText"/>
    <w:link w:val="CommentSubjectChar"/>
    <w:uiPriority w:val="99"/>
    <w:semiHidden/>
    <w:unhideWhenUsed/>
    <w:rsid w:val="00F4463C"/>
    <w:rPr>
      <w:b/>
      <w:bCs/>
      <w:sz w:val="20"/>
      <w:szCs w:val="20"/>
    </w:rPr>
  </w:style>
  <w:style w:type="character" w:customStyle="1" w:styleId="CommentSubjectChar">
    <w:name w:val="Comment Subject Char"/>
    <w:basedOn w:val="CommentTextChar"/>
    <w:link w:val="CommentSubject"/>
    <w:uiPriority w:val="99"/>
    <w:semiHidden/>
    <w:rsid w:val="00F44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77939A-5959-43FF-A62D-9BF67BE6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Gordon</dc:creator>
  <cp:lastModifiedBy>Walker, Gordon</cp:lastModifiedBy>
  <cp:revision>3</cp:revision>
  <dcterms:created xsi:type="dcterms:W3CDTF">2016-01-27T17:19:00Z</dcterms:created>
  <dcterms:modified xsi:type="dcterms:W3CDTF">2016-01-29T10:02:00Z</dcterms:modified>
</cp:coreProperties>
</file>